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E2" w:rsidRPr="00A166F3" w:rsidRDefault="00BC09E2" w:rsidP="00BC09E2">
      <w:pPr>
        <w:spacing w:line="36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166F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 оценки заявок,</w:t>
      </w:r>
    </w:p>
    <w:p w:rsidR="00BC09E2" w:rsidRPr="00A166F3" w:rsidRDefault="00BC09E2" w:rsidP="00BC09E2">
      <w:pPr>
        <w:spacing w:line="36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166F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окончательных предложений </w:t>
      </w:r>
    </w:p>
    <w:p w:rsidR="00BC09E2" w:rsidRPr="00A166F3" w:rsidRDefault="00BC09E2" w:rsidP="00BC09E2">
      <w:pPr>
        <w:spacing w:line="36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166F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участников закупки и критерий этой оценки</w:t>
      </w:r>
    </w:p>
    <w:p w:rsidR="00BC09E2" w:rsidRDefault="00BC09E2" w:rsidP="00BC09E2">
      <w:pPr>
        <w:spacing w:line="360" w:lineRule="atLeast"/>
        <w:jc w:val="center"/>
        <w:rPr>
          <w:rFonts w:ascii="PT Sans" w:eastAsia="Times New Roman" w:hAnsi="PT Sans"/>
          <w:b/>
          <w:bCs/>
          <w:color w:val="666666"/>
          <w:sz w:val="24"/>
          <w:szCs w:val="24"/>
          <w:lang w:eastAsia="ru-RU"/>
        </w:rPr>
      </w:pPr>
    </w:p>
    <w:p w:rsidR="00BC09E2" w:rsidRPr="00A166F3" w:rsidRDefault="00BC09E2" w:rsidP="00BC09E2">
      <w:pPr>
        <w:spacing w:line="360" w:lineRule="atLeast"/>
        <w:rPr>
          <w:rFonts w:ascii="PT Sans" w:eastAsia="Times New Roman" w:hAnsi="PT Sans"/>
          <w:b/>
          <w:bCs/>
          <w:color w:val="666666"/>
          <w:sz w:val="24"/>
          <w:szCs w:val="24"/>
          <w:lang w:eastAsia="ru-RU"/>
        </w:rPr>
      </w:pPr>
    </w:p>
    <w:p w:rsidR="00BC09E2" w:rsidRDefault="00BC09E2" w:rsidP="00BC09E2">
      <w:pPr>
        <w:spacing w:line="36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Оценка заявок, окончательных предложений участников закупки осуществляется в соответствии со статьей 22 Закона Приднестровской Молдавской Республики «О закупках в Приднестровской Молдавской Республике» и Постановлением Правительства ПМР от 25 марта 2020г.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5062">
        <w:rPr>
          <w:rFonts w:ascii="Times New Roman" w:eastAsia="Times New Roman" w:hAnsi="Times New Roman"/>
          <w:sz w:val="24"/>
          <w:szCs w:val="24"/>
          <w:lang w:eastAsia="ru-RU"/>
        </w:rPr>
        <w:t>78 «Об утверждении Порядка оценки заявок, окончательных предложений участников закупки при проведении запроса предложений».</w:t>
      </w:r>
    </w:p>
    <w:p w:rsidR="00BC09E2" w:rsidRPr="000063BF" w:rsidRDefault="00BC09E2" w:rsidP="00BC09E2">
      <w:pPr>
        <w:spacing w:line="36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63BF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Заявки, поданные с  превышением начальной (максимальной) цены контракта,  а также условий контракта в части срока поставки, условий оплаты, условий об ответственности по обязательствам, связанных с участием в закупке отстраняются и не оцениваются.  </w:t>
      </w:r>
    </w:p>
    <w:p w:rsidR="00BC09E2" w:rsidRPr="006D28C6" w:rsidRDefault="00BC09E2" w:rsidP="00BC09E2">
      <w:pPr>
        <w:spacing w:line="36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63BF">
        <w:rPr>
          <w:rFonts w:ascii="Times New Roman" w:eastAsia="Times New Roman" w:hAnsi="Times New Roman"/>
          <w:sz w:val="24"/>
          <w:szCs w:val="24"/>
          <w:lang w:eastAsia="ru-RU"/>
        </w:rPr>
        <w:t>Критерием оценки заявки, окончательного предложения участника закупки является цена контракта (удельный вес критерия – 100%).</w:t>
      </w:r>
    </w:p>
    <w:p w:rsidR="00181BE1" w:rsidRPr="00BC09E2" w:rsidRDefault="00181BE1" w:rsidP="00BC09E2">
      <w:bookmarkStart w:id="0" w:name="_GoBack"/>
      <w:bookmarkEnd w:id="0"/>
    </w:p>
    <w:sectPr w:rsidR="00181BE1" w:rsidRPr="00BC09E2" w:rsidSect="000605A8">
      <w:pgSz w:w="12240" w:h="15840" w:code="1"/>
      <w:pgMar w:top="1276" w:right="567" w:bottom="1134" w:left="1701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324"/>
    <w:rsid w:val="00027324"/>
    <w:rsid w:val="00032EF2"/>
    <w:rsid w:val="00181BE1"/>
    <w:rsid w:val="00BC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2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2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IURII</cp:lastModifiedBy>
  <cp:revision>2</cp:revision>
  <dcterms:created xsi:type="dcterms:W3CDTF">2022-05-12T08:01:00Z</dcterms:created>
  <dcterms:modified xsi:type="dcterms:W3CDTF">2022-05-12T08:01:00Z</dcterms:modified>
</cp:coreProperties>
</file>